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15767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ДИК 1.37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869" cy="1381401"/>
                  <wp:effectExtent l="19050" t="0" r="5981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9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157672" w:rsidP="0015767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2795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57672" w:rsidP="00157672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</w:t>
            </w:r>
            <w:r w:rsidR="00C02168">
              <w:rPr>
                <w:bCs/>
              </w:rPr>
              <w:t>60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57672" w:rsidP="0015767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380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B71B2F" w:rsidRDefault="00157672" w:rsidP="00157672">
            <w:pPr>
              <w:snapToGrid w:val="0"/>
              <w:spacing w:line="276" w:lineRule="auto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/>
          <w:trHeight w:val="1266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/>
              <w:rPr>
                <w:bCs/>
                <w:color w:val="000000"/>
              </w:rPr>
            </w:pPr>
            <w:r>
              <w:t>водостойкая фанера марки ФСФ сорт не ниже 2/2 то</w:t>
            </w:r>
            <w:r>
              <w:t>л</w:t>
            </w:r>
            <w:r w:rsidR="00744D88">
              <w:t>щиной не мене</w:t>
            </w:r>
            <w:r>
              <w:t>е</w:t>
            </w:r>
            <w:r w:rsidR="00744D88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744D88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</w:t>
            </w:r>
            <w:r w:rsidR="00D12EBD" w:rsidRPr="00D12EBD">
              <w:rPr>
                <w:bCs/>
                <w:color w:val="000000"/>
              </w:rPr>
              <w:t>ж</w:t>
            </w:r>
            <w:r w:rsidR="00D12EBD" w:rsidRPr="00D12EBD">
              <w:rPr>
                <w:bCs/>
                <w:color w:val="000000"/>
              </w:rPr>
              <w:t>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5A2721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5F0E5A">
              <w:rPr>
                <w:color w:val="000000"/>
              </w:rPr>
              <w:t>1</w:t>
            </w:r>
            <w:r w:rsidR="00157672">
              <w:rPr>
                <w:color w:val="000000"/>
              </w:rPr>
              <w:t>1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EB4CA8">
            <w:pPr>
              <w:cnfStyle w:val="00000000000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</w:t>
            </w:r>
            <w:r w:rsidR="00E05611">
              <w:rPr>
                <w:color w:val="000000"/>
              </w:rPr>
              <w:t>с</w:t>
            </w:r>
            <w:r w:rsidR="00E05611">
              <w:rPr>
                <w:color w:val="000000"/>
              </w:rPr>
              <w:t>товой стали толщиной не менее 4мм и трубы диаме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 xml:space="preserve">ром </w:t>
            </w:r>
            <w:r w:rsidR="00EB4CA8">
              <w:rPr>
                <w:bCs/>
              </w:rPr>
              <w:t xml:space="preserve">не менее 57 </w:t>
            </w:r>
            <w:r w:rsidR="00EB4CA8" w:rsidRPr="00DD4C3E">
              <w:rPr>
                <w:bCs/>
              </w:rPr>
              <w:t>мм</w:t>
            </w:r>
            <w:r w:rsidR="00EB4CA8">
              <w:rPr>
                <w:bCs/>
              </w:rPr>
              <w:t xml:space="preserve"> (</w:t>
            </w:r>
            <w:r w:rsidR="00EB4CA8">
              <w:rPr>
                <w:color w:val="000000"/>
              </w:rPr>
              <w:t>толщина стенки 3.5 мм).</w:t>
            </w:r>
            <w:bookmarkStart w:id="7" w:name="OLE_LINK71"/>
            <w:bookmarkStart w:id="8" w:name="OLE_LINK72"/>
            <w:r w:rsidR="00EB4CA8">
              <w:rPr>
                <w:bCs/>
              </w:rPr>
              <w:t>Усиление устойчивости конструкции гимнастического комплекса со стороны металлических дуг должно обеспечиваться за счет крепления, перпендикулярно подпятнику этого столба, закладного элемента из профильной трубы с</w:t>
            </w:r>
            <w:r w:rsidR="00EB4CA8">
              <w:rPr>
                <w:bCs/>
              </w:rPr>
              <w:t>е</w:t>
            </w:r>
            <w:r w:rsidR="00EB4CA8">
              <w:rPr>
                <w:bCs/>
              </w:rPr>
              <w:t xml:space="preserve">чением не менее 50х25 мм. Усиливающий закладной элемент крепится к столбу на два глухаря.  </w:t>
            </w:r>
            <w:r w:rsidR="00EB4CA8">
              <w:rPr>
                <w:color w:val="000000"/>
              </w:rPr>
              <w:t>Подпятники должны заканчиваться монтажными круглыми фланц</w:t>
            </w:r>
            <w:r w:rsidR="00EB4CA8">
              <w:rPr>
                <w:color w:val="000000"/>
              </w:rPr>
              <w:t>а</w:t>
            </w:r>
            <w:r w:rsidR="00EB4CA8">
              <w:rPr>
                <w:color w:val="000000"/>
              </w:rPr>
              <w:t>ми, выполненными из стали толщиной не менее 3 мм. Нижняя часть подпятников и закладных элементов</w:t>
            </w:r>
            <w:r w:rsidR="00EB4CA8" w:rsidRPr="00754ED9">
              <w:rPr>
                <w:color w:val="000000"/>
              </w:rPr>
              <w:t xml:space="preserve"> б</w:t>
            </w:r>
            <w:r w:rsidR="00EB4CA8" w:rsidRPr="00754ED9">
              <w:rPr>
                <w:color w:val="000000"/>
              </w:rPr>
              <w:t>е</w:t>
            </w:r>
            <w:r w:rsidR="00EB4CA8" w:rsidRPr="00754ED9">
              <w:rPr>
                <w:color w:val="000000"/>
              </w:rPr>
              <w:t>тонируются в землю.</w:t>
            </w:r>
            <w:bookmarkEnd w:id="6"/>
            <w:bookmarkEnd w:id="7"/>
            <w:bookmarkEnd w:id="8"/>
          </w:p>
        </w:tc>
      </w:tr>
      <w:tr w:rsidR="005F0E5A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157672" w:rsidP="00157672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1</w:t>
            </w:r>
            <w:r w:rsidR="005F0E5A">
              <w:rPr>
                <w:color w:val="000000"/>
              </w:rPr>
              <w:t xml:space="preserve"> шт. </w:t>
            </w:r>
            <w:r w:rsidR="005F0E5A" w:rsidRPr="00E94816">
              <w:rPr>
                <w:color w:val="000000"/>
              </w:rPr>
              <w:t>должен быть выполнен из ламин</w:t>
            </w:r>
            <w:r w:rsidR="005F0E5A" w:rsidRPr="00E94816">
              <w:rPr>
                <w:color w:val="000000"/>
              </w:rPr>
              <w:t>и</w:t>
            </w:r>
            <w:r w:rsidR="005F0E5A" w:rsidRPr="00E94816">
              <w:rPr>
                <w:color w:val="000000"/>
              </w:rPr>
              <w:t>рованной,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E94816">
              <w:rPr>
                <w:color w:val="000000"/>
              </w:rPr>
              <w:t xml:space="preserve"> влагостойкой фанеры толщиной не </w:t>
            </w:r>
            <w:r w:rsidR="002B5A13">
              <w:rPr>
                <w:color w:val="000000"/>
              </w:rPr>
              <w:t>менее 18 мм, площадью не менее 2</w:t>
            </w:r>
            <w:r w:rsidR="005F0E5A" w:rsidRPr="00E94816">
              <w:rPr>
                <w:color w:val="000000"/>
              </w:rPr>
              <w:t>м², опирающе</w:t>
            </w:r>
            <w:r w:rsidR="005F0E5A">
              <w:rPr>
                <w:color w:val="000000"/>
              </w:rPr>
              <w:t>йся</w:t>
            </w:r>
            <w:r>
              <w:rPr>
                <w:color w:val="000000"/>
              </w:rPr>
              <w:t xml:space="preserve"> натрубу сечением не менее 50х50 мм с ушками из металлического листа толщиной не менее 4 мм</w:t>
            </w:r>
            <w:r w:rsidR="005F0E5A">
              <w:rPr>
                <w:color w:val="000000"/>
              </w:rPr>
              <w:t xml:space="preserve">. 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157672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EB4CA8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</w:t>
            </w:r>
            <w:r w:rsidR="005F0E5A" w:rsidRPr="004510E7">
              <w:rPr>
                <w:color w:val="000000"/>
              </w:rPr>
              <w:t>и</w:t>
            </w:r>
            <w:r w:rsidR="005F0E5A" w:rsidRPr="004510E7">
              <w:rPr>
                <w:color w:val="000000"/>
              </w:rPr>
              <w:t>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</w:t>
            </w:r>
            <w:proofErr w:type="gramStart"/>
            <w:r w:rsidR="005F0E5A">
              <w:rPr>
                <w:color w:val="000000"/>
              </w:rPr>
              <w:t>.У</w:t>
            </w:r>
            <w:proofErr w:type="gramEnd"/>
            <w:r w:rsidR="005F0E5A">
              <w:rPr>
                <w:color w:val="000000"/>
              </w:rPr>
              <w:t xml:space="preserve">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</w:t>
            </w:r>
            <w:r w:rsidR="005F0E5A" w:rsidRPr="00157672">
              <w:rPr>
                <w:color w:val="000000"/>
              </w:rPr>
              <w:t>ф</w:t>
            </w:r>
            <w:r w:rsidR="005F0E5A" w:rsidRPr="00256C60">
              <w:rPr>
                <w:color w:val="000000"/>
              </w:rPr>
              <w:t xml:space="preserve">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157672">
              <w:rPr>
                <w:color w:val="000000"/>
              </w:rPr>
              <w:t xml:space="preserve">. </w:t>
            </w:r>
            <w:r w:rsidR="005F0E5A" w:rsidRPr="004510E7">
              <w:rPr>
                <w:color w:val="000000"/>
              </w:rPr>
              <w:t>Для бетонирования используются металлические за</w:t>
            </w:r>
            <w:r w:rsidR="00157672">
              <w:rPr>
                <w:color w:val="000000"/>
              </w:rPr>
              <w:t>кладные детали</w:t>
            </w:r>
            <w:r w:rsidR="005F0E5A" w:rsidRPr="004510E7">
              <w:rPr>
                <w:color w:val="000000"/>
              </w:rPr>
              <w:t>, закрепленные на перилах и окрашенные поро</w:t>
            </w:r>
            <w:r w:rsidR="005F0E5A" w:rsidRPr="004510E7">
              <w:rPr>
                <w:color w:val="000000"/>
              </w:rPr>
              <w:t>ш</w:t>
            </w:r>
            <w:r w:rsidR="005F0E5A" w:rsidRPr="004510E7">
              <w:rPr>
                <w:color w:val="000000"/>
              </w:rPr>
              <w:t>ковой полимерной краской зеленого цвета.</w:t>
            </w:r>
          </w:p>
        </w:tc>
      </w:tr>
      <w:tr w:rsidR="005F0E5A" w:rsidTr="00C02168">
        <w:trPr>
          <w:cnfStyle w:val="000000100000"/>
          <w:trHeight w:val="537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9" w:name="OLE_LINK273"/>
            <w:bookmarkStart w:id="10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C02168" w:rsidP="00157672">
            <w:pPr>
              <w:snapToGrid w:val="0"/>
              <w:rPr>
                <w:bCs/>
              </w:rPr>
            </w:pPr>
            <w:r>
              <w:rPr>
                <w:bCs/>
              </w:rPr>
              <w:t>Г</w:t>
            </w:r>
            <w:r w:rsidR="005F0E5A">
              <w:rPr>
                <w:bCs/>
              </w:rPr>
              <w:t>орк</w:t>
            </w:r>
            <w:r w:rsidR="00157672">
              <w:rPr>
                <w:bCs/>
              </w:rPr>
              <w:t>а, высота 90</w:t>
            </w:r>
            <w:r w:rsidR="005F0E5A">
              <w:rPr>
                <w:bCs/>
              </w:rPr>
              <w:t>0</w:t>
            </w:r>
          </w:p>
        </w:tc>
        <w:tc>
          <w:tcPr>
            <w:tcW w:w="5528" w:type="dxa"/>
          </w:tcPr>
          <w:p w:rsidR="005F0E5A" w:rsidRPr="00157672" w:rsidRDefault="00157672" w:rsidP="00157672">
            <w:pPr>
              <w:cnfStyle w:val="000000100000"/>
            </w:pPr>
            <w:r w:rsidRPr="00960CEF">
              <w:t xml:space="preserve">В кол-ве 1шт. </w:t>
            </w:r>
            <w:r w:rsidR="00EB4CA8" w:rsidRPr="00EB4CA8">
              <w:t>Каркас должен быть выполнен из пр</w:t>
            </w:r>
            <w:r w:rsidR="00EB4CA8" w:rsidRPr="00EB4CA8">
              <w:t>о</w:t>
            </w:r>
            <w:r w:rsidR="00EB4CA8" w:rsidRPr="00EB4CA8">
              <w:t>фильной трубы сечением не менее 50х25х2мм и уто</w:t>
            </w:r>
            <w:r w:rsidR="00EB4CA8" w:rsidRPr="00EB4CA8">
              <w:t>п</w:t>
            </w:r>
            <w:r w:rsidR="00EB4CA8" w:rsidRPr="00EB4CA8">
              <w:t>лен в отфрезерованный паз фанерного борта по всей длине. Желоб должен быть изготовлен из единого листа не ржавеющей стали, толщиной не менее 1,5 мм, пр</w:t>
            </w:r>
            <w:r w:rsidR="00EB4CA8" w:rsidRPr="00EB4CA8">
              <w:t>и</w:t>
            </w:r>
            <w:r w:rsidR="00EB4CA8" w:rsidRPr="00EB4CA8">
              <w:t>варенным к каркасу горки. Борта горки выполнены из влагостойкой фанеры марки ФСФ сорт не ниже 2/2  толщиной не менее 24 мм и высотой не менее 120мм. Боковые ограждения ската горки выполнены из влаг</w:t>
            </w:r>
            <w:r w:rsidR="00EB4CA8" w:rsidRPr="00EB4CA8">
              <w:t>о</w:t>
            </w:r>
            <w:r w:rsidR="00EB4CA8" w:rsidRPr="00EB4CA8">
              <w:t>стойкой фанеры марки ФСФ сорт не ниже 2/2 толщ</w:t>
            </w:r>
            <w:r w:rsidR="00EB4CA8" w:rsidRPr="00EB4CA8">
              <w:t>и</w:t>
            </w:r>
            <w:r w:rsidR="00EB4CA8" w:rsidRPr="00EB4CA8">
              <w:t>ной не менее 24мм, высотой не менее 700мм и оборуд</w:t>
            </w:r>
            <w:r w:rsidR="00EB4CA8" w:rsidRPr="00EB4CA8">
              <w:t>о</w:t>
            </w:r>
            <w:r w:rsidR="00EB4CA8" w:rsidRPr="00EB4CA8">
              <w:t>ваны поручнем ограничителем на высоте  не менее 600мм. Поручень должен быть выполнен  из металл</w:t>
            </w:r>
            <w:r w:rsidR="00EB4CA8" w:rsidRPr="00EB4CA8">
              <w:t>и</w:t>
            </w:r>
            <w:r w:rsidR="00EB4CA8" w:rsidRPr="00EB4CA8">
              <w:t>ческой трубы диаметром не менее 32 мм и толщиной стенки 3.5 мм с двумя штампованными ушками из ст</w:t>
            </w:r>
            <w:r w:rsidR="00EB4CA8" w:rsidRPr="00EB4CA8">
              <w:t>а</w:t>
            </w:r>
            <w:r w:rsidR="00EB4CA8" w:rsidRPr="00EB4CA8">
              <w:t>ли не менее 4 мм, под 4 мебельных болта.</w:t>
            </w:r>
          </w:p>
        </w:tc>
      </w:tr>
      <w:bookmarkEnd w:id="9"/>
      <w:bookmarkEnd w:id="10"/>
      <w:tr w:rsidR="005F0E5A" w:rsidTr="00BC7392">
        <w:trPr>
          <w:trHeight w:val="1116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5F0E5A" w:rsidP="00157672">
            <w:pPr>
              <w:autoSpaceDE w:val="0"/>
              <w:autoSpaceDN w:val="0"/>
              <w:adjustRightInd w:val="0"/>
              <w:jc w:val="both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1 шт. Скаты крыши выпо</w:t>
            </w:r>
            <w:r w:rsidR="00D5420F">
              <w:rPr>
                <w:color w:val="000000"/>
              </w:rPr>
              <w:t>лнены из фанеры толщиной не мене</w:t>
            </w:r>
            <w:r>
              <w:rPr>
                <w:color w:val="000000"/>
              </w:rPr>
              <w:t>е 15мм и утоплены в пазы</w:t>
            </w:r>
            <w:r w:rsidR="00157672">
              <w:rPr>
                <w:color w:val="000000"/>
              </w:rPr>
              <w:t xml:space="preserve"> фасадов</w:t>
            </w:r>
            <w:r>
              <w:rPr>
                <w:color w:val="000000"/>
              </w:rPr>
              <w:t xml:space="preserve"> и скрепляются между собой на оцинкованные уголки </w:t>
            </w:r>
            <w:r w:rsidR="00157672">
              <w:rPr>
                <w:color w:val="000000"/>
              </w:rPr>
              <w:t>50</w:t>
            </w:r>
            <w:r>
              <w:rPr>
                <w:color w:val="000000"/>
              </w:rPr>
              <w:t>х</w:t>
            </w:r>
            <w:r w:rsidR="00157672">
              <w:rPr>
                <w:color w:val="000000"/>
              </w:rPr>
              <w:t>5</w:t>
            </w:r>
            <w:r>
              <w:rPr>
                <w:color w:val="000000"/>
              </w:rPr>
              <w:t>0х2,5мм не менее1</w:t>
            </w:r>
            <w:r w:rsidR="001576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</w:p>
        </w:tc>
      </w:tr>
      <w:tr w:rsidR="004B653C" w:rsidTr="00A23D83">
        <w:trPr>
          <w:cnfStyle w:val="000000100000"/>
          <w:trHeight w:val="710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BC7392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Стойка и ручка</w:t>
            </w:r>
          </w:p>
        </w:tc>
        <w:tc>
          <w:tcPr>
            <w:tcW w:w="5528" w:type="dxa"/>
          </w:tcPr>
          <w:p w:rsidR="004B653C" w:rsidRDefault="004B653C" w:rsidP="00BC7392">
            <w:pPr>
              <w:autoSpaceDE w:val="0"/>
              <w:autoSpaceDN w:val="0"/>
              <w:adjustRightInd w:val="0"/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BC7392">
              <w:rPr>
                <w:color w:val="000000"/>
              </w:rPr>
              <w:t>2</w:t>
            </w:r>
            <w:r>
              <w:rPr>
                <w:color w:val="000000"/>
              </w:rPr>
              <w:t>шт. выполнен</w:t>
            </w:r>
            <w:r w:rsidR="00BC7392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из трубы диаметром  не менее 42мм и толщиной стенки не менее 3.5мм</w:t>
            </w:r>
            <w:r w:rsidR="00BC7392">
              <w:rPr>
                <w:color w:val="000000"/>
              </w:rPr>
              <w:t>. Стойка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</w:t>
            </w:r>
            <w:r w:rsidRPr="00D5420F">
              <w:rPr>
                <w:color w:val="000000"/>
              </w:rPr>
              <w:t>н</w:t>
            </w:r>
            <w:r w:rsidR="00BC7392">
              <w:rPr>
                <w:color w:val="000000"/>
              </w:rPr>
              <w:t>а</w:t>
            </w:r>
            <w:r w:rsidRPr="00D5420F">
              <w:rPr>
                <w:color w:val="000000"/>
              </w:rPr>
              <w:t xml:space="preserve"> заканчиваться монтажным круглым фланцем</w:t>
            </w:r>
            <w:r w:rsidR="00EB4CA8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</w:t>
            </w:r>
            <w:r w:rsidRPr="00D5420F">
              <w:rPr>
                <w:color w:val="000000"/>
              </w:rPr>
              <w:t>ы</w:t>
            </w:r>
            <w:r w:rsidRPr="00D5420F">
              <w:rPr>
                <w:color w:val="000000"/>
              </w:rPr>
              <w:t>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</w:t>
            </w:r>
            <w:r w:rsidR="00BC7392">
              <w:rPr>
                <w:color w:val="000000"/>
              </w:rPr>
              <w:t>.</w:t>
            </w:r>
          </w:p>
        </w:tc>
      </w:tr>
      <w:tr w:rsidR="004B653C" w:rsidTr="00E2448C">
        <w:trPr>
          <w:trHeight w:val="1392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BC7392" w:rsidP="00BC7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Спортивный элемент</w:t>
            </w:r>
          </w:p>
        </w:tc>
        <w:tc>
          <w:tcPr>
            <w:tcW w:w="5528" w:type="dxa"/>
          </w:tcPr>
          <w:p w:rsidR="004B653C" w:rsidRDefault="00BC7392" w:rsidP="00E2448C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1 шт. выполнены из трубы диаметром 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42 мм и толщиной стенки не менее 3.5 мм</w:t>
            </w:r>
            <w:r w:rsidR="00E2448C">
              <w:rPr>
                <w:color w:val="000000"/>
              </w:rPr>
              <w:t xml:space="preserve">. Сетка </w:t>
            </w:r>
            <w:r w:rsidR="00E2448C">
              <w:rPr>
                <w:bCs/>
              </w:rPr>
              <w:t>должна быть выполнена из полипропиленового арм</w:t>
            </w:r>
            <w:r w:rsidR="00E2448C">
              <w:rPr>
                <w:bCs/>
              </w:rPr>
              <w:t>и</w:t>
            </w:r>
            <w:r w:rsidR="00E2448C">
              <w:rPr>
                <w:bCs/>
              </w:rPr>
              <w:t xml:space="preserve">рованного </w:t>
            </w:r>
            <w:r w:rsidR="00E2448C" w:rsidRPr="00332570">
              <w:rPr>
                <w:bCs/>
              </w:rPr>
              <w:t>каната</w:t>
            </w:r>
            <w:r w:rsidR="00EB4CA8">
              <w:rPr>
                <w:bCs/>
              </w:rPr>
              <w:t>,</w:t>
            </w:r>
            <w:r w:rsidR="00E2448C" w:rsidRPr="00332570">
              <w:rPr>
                <w:bCs/>
              </w:rPr>
              <w:t xml:space="preserve"> скрепленного между собой</w:t>
            </w:r>
            <w:r w:rsidR="00E2448C">
              <w:rPr>
                <w:bCs/>
              </w:rPr>
              <w:t xml:space="preserve"> антива</w:t>
            </w:r>
            <w:r w:rsidR="00E2448C">
              <w:rPr>
                <w:bCs/>
              </w:rPr>
              <w:t>н</w:t>
            </w:r>
            <w:r w:rsidR="00E2448C">
              <w:rPr>
                <w:bCs/>
              </w:rPr>
              <w:t xml:space="preserve">дальной и безопасной </w:t>
            </w:r>
            <w:r w:rsidR="00E2448C" w:rsidRPr="00332570">
              <w:rPr>
                <w:bCs/>
              </w:rPr>
              <w:t xml:space="preserve"> пластиковойстяжкой троса</w:t>
            </w:r>
            <w:r w:rsidR="00E2448C">
              <w:rPr>
                <w:bCs/>
              </w:rPr>
              <w:t>.</w:t>
            </w:r>
          </w:p>
        </w:tc>
      </w:tr>
      <w:tr w:rsidR="004B653C" w:rsidTr="002B5A13">
        <w:trPr>
          <w:cnfStyle w:val="000000100000"/>
          <w:trHeight w:val="57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</w:tcBorders>
          </w:tcPr>
          <w:p w:rsidR="004B653C" w:rsidRDefault="002B5A13" w:rsidP="00E244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</w:t>
            </w:r>
            <w:r w:rsidR="00E2448C">
              <w:rPr>
                <w:color w:val="000000"/>
              </w:rPr>
              <w:t>я башни</w:t>
            </w:r>
          </w:p>
        </w:tc>
        <w:tc>
          <w:tcPr>
            <w:tcW w:w="5528" w:type="dxa"/>
          </w:tcPr>
          <w:p w:rsidR="004B653C" w:rsidRDefault="004B653C" w:rsidP="00E2448C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E2448C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 xml:space="preserve">шт. </w:t>
            </w:r>
            <w:r w:rsidRPr="001F67AA">
              <w:rPr>
                <w:color w:val="000000"/>
              </w:rPr>
              <w:t>должна быть выполнена из влагосто</w:t>
            </w:r>
            <w:r w:rsidRPr="001F67AA">
              <w:rPr>
                <w:color w:val="000000"/>
              </w:rPr>
              <w:t>й</w:t>
            </w:r>
            <w:r w:rsidRPr="001F67AA">
              <w:rPr>
                <w:color w:val="000000"/>
              </w:rPr>
              <w:t>кой фанеры марки ФСФ сорт не ниже 2/2 и толщи</w:t>
            </w:r>
            <w:r>
              <w:rPr>
                <w:color w:val="000000"/>
              </w:rPr>
              <w:t>ной не менее 2</w:t>
            </w:r>
            <w:r w:rsidR="00E2448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Pr="001F67AA">
              <w:rPr>
                <w:color w:val="000000"/>
              </w:rPr>
              <w:t>.</w:t>
            </w:r>
          </w:p>
        </w:tc>
      </w:tr>
      <w:tr w:rsidR="004B653C" w:rsidTr="00A23D83">
        <w:trPr>
          <w:trHeight w:val="1217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>ки 2.5мм  с тремя штампованными ушками</w:t>
            </w:r>
            <w:r w:rsidR="00EB4CA8">
              <w:rPr>
                <w:color w:val="000000"/>
              </w:rPr>
              <w:t xml:space="preserve">, </w:t>
            </w:r>
            <w:r w:rsidRPr="00F83544">
              <w:rPr>
                <w:color w:val="000000"/>
              </w:rPr>
              <w:t>выполненн</w:t>
            </w:r>
            <w:r w:rsidRPr="00F83544">
              <w:rPr>
                <w:color w:val="000000"/>
              </w:rPr>
              <w:t>ы</w:t>
            </w:r>
            <w:r w:rsidRPr="00F83544">
              <w:rPr>
                <w:color w:val="000000"/>
              </w:rPr>
              <w:t>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A23D83" w:rsidTr="00A23D83">
        <w:trPr>
          <w:cnfStyle w:val="000000100000"/>
          <w:trHeight w:val="4097"/>
        </w:trPr>
        <w:tc>
          <w:tcPr>
            <w:cnfStyle w:val="00001000000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 w:rsidR="005A2721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</w:t>
            </w:r>
            <w:r w:rsidRPr="00A23D83"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 xml:space="preserve">нию, устойчивой к воздействию ультрафиолета и влаги. Металл покрашен </w:t>
            </w:r>
            <w:proofErr w:type="gramStart"/>
            <w:r w:rsidRPr="00A23D83">
              <w:rPr>
                <w:color w:val="000000"/>
              </w:rPr>
              <w:t>полимерной-порошковой</w:t>
            </w:r>
            <w:proofErr w:type="gramEnd"/>
            <w:r w:rsidRPr="00A23D83">
              <w:rPr>
                <w:color w:val="000000"/>
              </w:rPr>
              <w:t xml:space="preserve">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E2448C">
        <w:trPr>
          <w:trHeight w:val="1811"/>
        </w:trPr>
        <w:tc>
          <w:tcPr>
            <w:cnfStyle w:val="00001000000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EB4CA8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</w:t>
            </w:r>
            <w:r w:rsidR="00E2448C"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 w:rsidR="00E2448C">
              <w:rPr>
                <w:color w:val="000000"/>
              </w:rPr>
              <w:t>и</w:t>
            </w:r>
            <w:r w:rsidR="00C02168">
              <w:rPr>
                <w:color w:val="000000"/>
              </w:rPr>
              <w:t>,</w:t>
            </w:r>
            <w:r w:rsidRPr="00A23D83">
              <w:rPr>
                <w:color w:val="000000"/>
              </w:rPr>
              <w:t xml:space="preserve"> на башн</w:t>
            </w:r>
            <w:r w:rsidR="00E2448C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крыша, лестница, горка, </w:t>
            </w:r>
            <w:r w:rsidR="00E2448C">
              <w:rPr>
                <w:color w:val="000000"/>
              </w:rPr>
              <w:t>фанерные</w:t>
            </w:r>
            <w:r w:rsidRPr="00A23D83">
              <w:rPr>
                <w:color w:val="000000"/>
              </w:rPr>
              <w:t xml:space="preserve"> огра</w:t>
            </w:r>
            <w:r w:rsidRPr="00A23D83">
              <w:rPr>
                <w:color w:val="000000"/>
              </w:rPr>
              <w:t>ж</w:t>
            </w:r>
            <w:r w:rsidRPr="00A23D83">
              <w:rPr>
                <w:color w:val="000000"/>
              </w:rPr>
              <w:t>де</w:t>
            </w:r>
            <w:r w:rsidR="00E2448C">
              <w:rPr>
                <w:color w:val="000000"/>
              </w:rPr>
              <w:t>ния</w:t>
            </w:r>
            <w:r w:rsidRPr="00A23D83">
              <w:rPr>
                <w:color w:val="000000"/>
              </w:rPr>
              <w:t xml:space="preserve">. </w:t>
            </w:r>
            <w:r w:rsidR="00E2448C"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 w:rsidR="00E2448C">
              <w:rPr>
                <w:color w:val="000000"/>
              </w:rPr>
              <w:t>я</w:t>
            </w:r>
            <w:r w:rsidRPr="00A23D83">
              <w:rPr>
                <w:color w:val="000000"/>
              </w:rPr>
              <w:t xml:space="preserve"> имеет продолжение в виде </w:t>
            </w:r>
            <w:r w:rsidR="00E2448C">
              <w:rPr>
                <w:color w:val="000000"/>
              </w:rPr>
              <w:t>спортивного элемента</w:t>
            </w:r>
            <w:r w:rsidR="00E929F3">
              <w:rPr>
                <w:color w:val="000000"/>
              </w:rPr>
              <w:t>, к</w:t>
            </w:r>
            <w:r w:rsidRPr="00A23D83">
              <w:rPr>
                <w:color w:val="000000"/>
              </w:rPr>
              <w:t xml:space="preserve">оторый состоит из </w:t>
            </w:r>
            <w:r w:rsidR="00E2448C">
              <w:rPr>
                <w:color w:val="000000"/>
              </w:rPr>
              <w:t>элемента с сеткой пол</w:t>
            </w:r>
            <w:r w:rsidR="00E2448C">
              <w:rPr>
                <w:color w:val="000000"/>
              </w:rPr>
              <w:t>и</w:t>
            </w:r>
            <w:r w:rsidR="00E2448C">
              <w:rPr>
                <w:color w:val="000000"/>
              </w:rPr>
              <w:t>пропиленовой, ручки</w:t>
            </w:r>
            <w:r w:rsidRPr="00A23D83">
              <w:rPr>
                <w:color w:val="000000"/>
              </w:rPr>
              <w:t>,</w:t>
            </w:r>
            <w:r w:rsidR="00E2448C">
              <w:rPr>
                <w:color w:val="000000"/>
              </w:rPr>
              <w:t xml:space="preserve"> изогнутой стойки</w:t>
            </w:r>
            <w:r w:rsidRPr="00A23D83">
              <w:rPr>
                <w:color w:val="000000"/>
              </w:rPr>
              <w:t>.</w:t>
            </w:r>
            <w:bookmarkStart w:id="11" w:name="_GoBack"/>
            <w:bookmarkEnd w:id="11"/>
            <w:r w:rsidRPr="00A23D83">
              <w:rPr>
                <w:color w:val="000000"/>
              </w:rPr>
              <w:t>Все резьбовые соединения должны быть закрыты разноцветными пл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70" w:rsidRDefault="00391670" w:rsidP="00D74A8E">
      <w:r>
        <w:separator/>
      </w:r>
    </w:p>
  </w:endnote>
  <w:endnote w:type="continuationSeparator" w:id="1">
    <w:p w:rsidR="00391670" w:rsidRDefault="0039167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70" w:rsidRDefault="00391670" w:rsidP="00D74A8E">
      <w:r>
        <w:separator/>
      </w:r>
    </w:p>
  </w:footnote>
  <w:footnote w:type="continuationSeparator" w:id="1">
    <w:p w:rsidR="00391670" w:rsidRDefault="0039167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57672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1670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47B"/>
    <w:rsid w:val="005756E8"/>
    <w:rsid w:val="00583450"/>
    <w:rsid w:val="005A1B0B"/>
    <w:rsid w:val="005A2579"/>
    <w:rsid w:val="005A2721"/>
    <w:rsid w:val="005A2B73"/>
    <w:rsid w:val="005B12B0"/>
    <w:rsid w:val="005B331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4773"/>
    <w:rsid w:val="0067772F"/>
    <w:rsid w:val="00683143"/>
    <w:rsid w:val="006861C9"/>
    <w:rsid w:val="00695C8E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44D88"/>
    <w:rsid w:val="007512AC"/>
    <w:rsid w:val="007521BF"/>
    <w:rsid w:val="00762012"/>
    <w:rsid w:val="00782FE1"/>
    <w:rsid w:val="00783E1B"/>
    <w:rsid w:val="00794802"/>
    <w:rsid w:val="00796E4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7F9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97B95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AF339C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C7392"/>
    <w:rsid w:val="00BD25F2"/>
    <w:rsid w:val="00BD3742"/>
    <w:rsid w:val="00BD4C5F"/>
    <w:rsid w:val="00BD7958"/>
    <w:rsid w:val="00BD7BC1"/>
    <w:rsid w:val="00BD7F22"/>
    <w:rsid w:val="00BE4E54"/>
    <w:rsid w:val="00BE64B0"/>
    <w:rsid w:val="00BF0D13"/>
    <w:rsid w:val="00BF28A0"/>
    <w:rsid w:val="00BF5357"/>
    <w:rsid w:val="00C0159A"/>
    <w:rsid w:val="00C02168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448C"/>
    <w:rsid w:val="00E27A3D"/>
    <w:rsid w:val="00E36B63"/>
    <w:rsid w:val="00E379DC"/>
    <w:rsid w:val="00E42433"/>
    <w:rsid w:val="00E50BF2"/>
    <w:rsid w:val="00E53066"/>
    <w:rsid w:val="00E53B75"/>
    <w:rsid w:val="00E557C9"/>
    <w:rsid w:val="00E643BE"/>
    <w:rsid w:val="00E843F7"/>
    <w:rsid w:val="00E91D54"/>
    <w:rsid w:val="00E929F3"/>
    <w:rsid w:val="00E938B0"/>
    <w:rsid w:val="00EA12B9"/>
    <w:rsid w:val="00EA241A"/>
    <w:rsid w:val="00EA67E7"/>
    <w:rsid w:val="00EA729A"/>
    <w:rsid w:val="00EB4CA8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0419-2ADF-4454-8C15-11A9EA74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2014-03-27T05:57:00Z</dcterms:created>
  <dcterms:modified xsi:type="dcterms:W3CDTF">2014-10-26T18:25:00Z</dcterms:modified>
</cp:coreProperties>
</file>